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p>
    <w:p>
      <w:pPr>
        <w:spacing w:line="600" w:lineRule="exact"/>
        <w:rPr>
          <w:rFonts w:ascii="Times New Roman" w:hAnsi="Times New Roman" w:eastAsia="黑体" w:cs="Times New Roman"/>
          <w:sz w:val="32"/>
          <w:szCs w:val="32"/>
        </w:rPr>
      </w:pPr>
    </w:p>
    <w:p>
      <w:pPr>
        <w:jc w:val="center"/>
        <w:rPr>
          <w:rFonts w:hint="eastAsia" w:eastAsia="方正小标宋_GBK" w:cs="Times New Roman"/>
          <w:sz w:val="52"/>
          <w:szCs w:val="52"/>
          <w:lang w:eastAsia="zh-CN"/>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2</w:t>
      </w:r>
      <w:r>
        <w:rPr>
          <w:rFonts w:ascii="Times New Roman" w:hAnsi="Times New Roman" w:eastAsia="方正小标宋_GBK" w:cs="Times New Roman"/>
          <w:sz w:val="52"/>
          <w:szCs w:val="52"/>
        </w:rPr>
        <w:t>年度</w:t>
      </w:r>
      <w:r>
        <w:rPr>
          <w:rFonts w:hint="eastAsia" w:eastAsia="方正小标宋_GBK" w:cs="Times New Roman"/>
          <w:sz w:val="52"/>
          <w:szCs w:val="52"/>
          <w:lang w:eastAsia="zh-CN"/>
        </w:rPr>
        <w:t>邵阳市卫生健康委员会</w:t>
      </w:r>
    </w:p>
    <w:p>
      <w:pPr>
        <w:jc w:val="center"/>
        <w:rPr>
          <w:rFonts w:ascii="Times New Roman" w:hAnsi="Times New Roman" w:eastAsia="方正小标宋_GBK" w:cs="Times New Roman"/>
          <w:sz w:val="52"/>
          <w:szCs w:val="52"/>
        </w:rPr>
      </w:pPr>
      <w:bookmarkStart w:id="0" w:name="_GoBack"/>
      <w:r>
        <w:rPr>
          <w:rFonts w:ascii="Times New Roman" w:hAnsi="Times New Roman" w:eastAsia="方正小标宋_GBK" w:cs="Times New Roman"/>
          <w:sz w:val="52"/>
          <w:szCs w:val="52"/>
        </w:rPr>
        <w:t>整体支出绩效自评报告</w:t>
      </w:r>
      <w:bookmarkEnd w:id="0"/>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1200" w:firstLineChars="300"/>
        <w:jc w:val="both"/>
        <w:rPr>
          <w:rFonts w:hint="eastAsia" w:ascii="仿宋" w:hAnsi="仿宋" w:eastAsia="仿宋" w:cs="仿宋"/>
          <w:sz w:val="40"/>
          <w:szCs w:val="40"/>
          <w:u w:val="single"/>
          <w:lang w:eastAsia="zh-CN"/>
        </w:rPr>
      </w:pPr>
      <w:r>
        <w:rPr>
          <w:rFonts w:hint="eastAsia" w:ascii="仿宋" w:hAnsi="仿宋" w:eastAsia="仿宋" w:cs="仿宋"/>
          <w:sz w:val="40"/>
          <w:szCs w:val="40"/>
        </w:rPr>
        <w:t>单位名称：</w:t>
      </w:r>
      <w:r>
        <w:rPr>
          <w:rFonts w:hint="eastAsia" w:ascii="仿宋" w:hAnsi="仿宋" w:eastAsia="仿宋" w:cs="仿宋"/>
          <w:sz w:val="40"/>
          <w:szCs w:val="40"/>
          <w:lang w:eastAsia="zh-CN"/>
        </w:rPr>
        <w:t>邵阳市卫生健康委员会</w:t>
      </w:r>
    </w:p>
    <w:p>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2023</w:t>
      </w:r>
      <w:r>
        <w:rPr>
          <w:rFonts w:hint="eastAsia" w:ascii="仿宋" w:hAnsi="仿宋" w:eastAsia="仿宋" w:cs="仿宋"/>
          <w:sz w:val="40"/>
          <w:szCs w:val="40"/>
        </w:rPr>
        <w:t>年</w:t>
      </w:r>
      <w:r>
        <w:rPr>
          <w:rFonts w:hint="eastAsia" w:ascii="仿宋" w:hAnsi="仿宋" w:eastAsia="仿宋" w:cs="仿宋"/>
          <w:sz w:val="40"/>
          <w:szCs w:val="40"/>
          <w:lang w:val="en-US" w:eastAsia="zh-CN"/>
        </w:rPr>
        <w:t>4</w:t>
      </w:r>
      <w:r>
        <w:rPr>
          <w:rFonts w:hint="eastAsia" w:ascii="仿宋" w:hAnsi="仿宋" w:eastAsia="仿宋" w:cs="仿宋"/>
          <w:sz w:val="40"/>
          <w:szCs w:val="40"/>
        </w:rPr>
        <w:t>月</w:t>
      </w:r>
      <w:r>
        <w:rPr>
          <w:rFonts w:hint="eastAsia" w:ascii="仿宋" w:hAnsi="仿宋" w:eastAsia="仿宋" w:cs="仿宋"/>
          <w:sz w:val="40"/>
          <w:szCs w:val="40"/>
          <w:lang w:val="en-US" w:eastAsia="zh-CN"/>
        </w:rPr>
        <w:t>19</w:t>
      </w:r>
      <w:r>
        <w:rPr>
          <w:rFonts w:hint="eastAsia" w:ascii="仿宋" w:hAnsi="仿宋" w:eastAsia="仿宋" w:cs="仿宋"/>
          <w:sz w:val="40"/>
          <w:szCs w:val="40"/>
        </w:rPr>
        <w:t>日</w:t>
      </w:r>
    </w:p>
    <w:p>
      <w:pPr>
        <w:rPr>
          <w:rFonts w:ascii="Times New Roman" w:hAnsi="Times New Roman" w:eastAsia="仿宋_GB2312" w:cs="Times New Roman"/>
          <w:sz w:val="32"/>
          <w:szCs w:val="32"/>
        </w:rPr>
        <w:sectPr>
          <w:pgSz w:w="11906" w:h="16838"/>
          <w:pgMar w:top="2154" w:right="1531" w:bottom="215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z w:val="44"/>
          <w:szCs w:val="44"/>
          <w:lang w:eastAsia="zh-CN"/>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2</w:t>
      </w:r>
      <w:r>
        <w:rPr>
          <w:rFonts w:ascii="Times New Roman" w:hAnsi="Times New Roman" w:eastAsia="方正小标宋_GBK" w:cs="Times New Roman"/>
          <w:sz w:val="44"/>
          <w:szCs w:val="44"/>
        </w:rPr>
        <w:t>年度</w:t>
      </w:r>
      <w:r>
        <w:rPr>
          <w:rFonts w:hint="eastAsia" w:eastAsia="方正小标宋_GBK" w:cs="Times New Roman"/>
          <w:sz w:val="44"/>
          <w:szCs w:val="44"/>
          <w:lang w:eastAsia="zh-CN"/>
        </w:rPr>
        <w:t>邵阳市卫生健康委员会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整体支出绩效自评报告</w:t>
      </w:r>
    </w:p>
    <w:p>
      <w:pPr>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（一）机构、人员构成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邵阳市卫生健康委员会</w:t>
      </w:r>
      <w:r>
        <w:rPr>
          <w:rFonts w:hint="eastAsia" w:ascii="Times New Roman" w:hAnsi="Times New Roman" w:eastAsia="仿宋_GB2312" w:cs="Times New Roman"/>
          <w:color w:val="auto"/>
          <w:kern w:val="0"/>
          <w:sz w:val="32"/>
          <w:szCs w:val="32"/>
          <w:lang w:val="en-US" w:eastAsia="zh-CN"/>
        </w:rPr>
        <w:t>为市人民政府下属的一级预算单位，下设有</w:t>
      </w:r>
      <w:r>
        <w:rPr>
          <w:rFonts w:hint="eastAsia" w:ascii="仿宋_GB2312" w:hAnsi="仿宋_GB2312" w:eastAsia="仿宋_GB2312" w:cs="仿宋_GB2312"/>
          <w:sz w:val="32"/>
          <w:szCs w:val="32"/>
        </w:rPr>
        <w:t>办公室、政工科、法规科、规划</w:t>
      </w:r>
      <w:r>
        <w:rPr>
          <w:rFonts w:hint="eastAsia" w:ascii="仿宋_GB2312" w:hAnsi="仿宋_GB2312" w:eastAsia="仿宋_GB2312" w:cs="仿宋_GB2312"/>
          <w:sz w:val="32"/>
          <w:szCs w:val="32"/>
          <w:lang w:val="en-US" w:eastAsia="zh-CN"/>
        </w:rPr>
        <w:t>信息和财务</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爱国卫生工作</w:t>
      </w:r>
      <w:r>
        <w:rPr>
          <w:rFonts w:hint="eastAsia" w:ascii="仿宋_GB2312" w:hAnsi="仿宋_GB2312" w:eastAsia="仿宋_GB2312" w:cs="仿宋_GB2312"/>
          <w:sz w:val="32"/>
          <w:szCs w:val="32"/>
        </w:rPr>
        <w:t>科、疾病预防控制科、医政医管科、中医药管理科、基层卫生健康科、卫生应急办公室、科技宣传教育科、综合监督科、药物政策与基本药物制度科、老龄健康科、妇幼健康科、职业健康科、人口监测与家庭发展科、保健科、离退休人员管理服务科、机关党委</w:t>
      </w:r>
      <w:r>
        <w:rPr>
          <w:rFonts w:hint="eastAsia" w:ascii="Times New Roman" w:hAnsi="Times New Roman" w:eastAsia="仿宋_GB2312" w:cs="Times New Roman"/>
          <w:color w:val="auto"/>
          <w:kern w:val="0"/>
          <w:sz w:val="32"/>
          <w:szCs w:val="32"/>
          <w:lang w:val="en-US" w:eastAsia="zh-CN"/>
        </w:rPr>
        <w:t>等科室2</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个</w:t>
      </w:r>
      <w:r>
        <w:rPr>
          <w:rFonts w:hint="eastAsia"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单位人员编制</w:t>
      </w:r>
      <w:r>
        <w:rPr>
          <w:rFonts w:hint="eastAsia" w:cs="Times New Roman"/>
          <w:color w:val="auto"/>
          <w:kern w:val="0"/>
          <w:sz w:val="32"/>
          <w:szCs w:val="32"/>
          <w:lang w:val="en-US" w:eastAsia="zh-CN"/>
        </w:rPr>
        <w:t>48</w:t>
      </w:r>
      <w:r>
        <w:rPr>
          <w:rFonts w:hint="eastAsia" w:ascii="Times New Roman" w:hAnsi="Times New Roman" w:eastAsia="仿宋_GB2312" w:cs="Times New Roman"/>
          <w:color w:val="auto"/>
          <w:kern w:val="0"/>
          <w:sz w:val="32"/>
          <w:szCs w:val="32"/>
          <w:lang w:val="en-US" w:eastAsia="zh-CN"/>
        </w:rPr>
        <w:t>人，截止</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年12月份在编在职人员</w:t>
      </w:r>
      <w:r>
        <w:rPr>
          <w:rFonts w:hint="eastAsia" w:cs="Times New Roman"/>
          <w:color w:val="auto"/>
          <w:kern w:val="0"/>
          <w:sz w:val="32"/>
          <w:szCs w:val="32"/>
          <w:lang w:val="en-US" w:eastAsia="zh-CN"/>
        </w:rPr>
        <w:t>47</w:t>
      </w:r>
      <w:r>
        <w:rPr>
          <w:rFonts w:hint="eastAsia" w:ascii="Times New Roman" w:hAnsi="Times New Roman" w:eastAsia="仿宋_GB2312" w:cs="Times New Roman"/>
          <w:color w:val="auto"/>
          <w:kern w:val="0"/>
          <w:sz w:val="32"/>
          <w:szCs w:val="32"/>
          <w:lang w:val="en-US" w:eastAsia="zh-CN"/>
        </w:rPr>
        <w:t>人</w:t>
      </w:r>
      <w:r>
        <w:rPr>
          <w:rFonts w:hint="eastAsia" w:cs="Times New Roman"/>
          <w:color w:val="auto"/>
          <w:kern w:val="0"/>
          <w:sz w:val="32"/>
          <w:szCs w:val="32"/>
          <w:lang w:val="en-US" w:eastAsia="zh-CN"/>
        </w:rPr>
        <w:t>（不含驻委纪检组4人）</w:t>
      </w:r>
      <w:r>
        <w:rPr>
          <w:rFonts w:hint="eastAsia" w:ascii="Times New Roman" w:hAnsi="Times New Roman" w:eastAsia="仿宋_GB2312" w:cs="Times New Roman"/>
          <w:color w:val="auto"/>
          <w:kern w:val="0"/>
          <w:sz w:val="32"/>
          <w:szCs w:val="32"/>
          <w:lang w:val="en-US" w:eastAsia="zh-CN"/>
        </w:rPr>
        <w:t>，离退休人员</w:t>
      </w:r>
      <w:r>
        <w:rPr>
          <w:rFonts w:hint="eastAsia" w:cs="Times New Roman"/>
          <w:color w:val="auto"/>
          <w:kern w:val="0"/>
          <w:sz w:val="32"/>
          <w:szCs w:val="32"/>
          <w:lang w:val="en-US" w:eastAsia="zh-CN"/>
        </w:rPr>
        <w:t>91</w:t>
      </w:r>
      <w:r>
        <w:rPr>
          <w:rFonts w:hint="eastAsia" w:ascii="Times New Roman" w:hAnsi="Times New Roman" w:eastAsia="仿宋_GB2312" w:cs="Times New Roman"/>
          <w:color w:val="auto"/>
          <w:kern w:val="0"/>
          <w:sz w:val="32"/>
          <w:szCs w:val="32"/>
          <w:lang w:val="en-US" w:eastAsia="zh-CN"/>
        </w:rPr>
        <w:t>人。纳入</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年部门整体支出绩效评价范围的二级预算单位包括：</w:t>
      </w:r>
      <w:r>
        <w:rPr>
          <w:rFonts w:hint="eastAsia" w:ascii="仿宋_GB2312" w:eastAsia="仿宋_GB2312"/>
          <w:bCs/>
          <w:color w:val="000000"/>
          <w:kern w:val="0"/>
          <w:sz w:val="32"/>
          <w:szCs w:val="32"/>
        </w:rPr>
        <w:t>邵阳市计划生育协会、邵阳市卫生和计划生育委员会信息中心、邵阳市卫生和计划生育委员会公共卫生计生药具服务站、邵阳市卫生</w:t>
      </w:r>
      <w:r>
        <w:rPr>
          <w:rFonts w:hint="eastAsia" w:ascii="仿宋_GB2312" w:eastAsia="仿宋_GB2312"/>
          <w:bCs/>
          <w:color w:val="000000"/>
          <w:kern w:val="0"/>
          <w:sz w:val="32"/>
          <w:szCs w:val="32"/>
          <w:lang w:eastAsia="zh-CN"/>
        </w:rPr>
        <w:t>人才考试中心</w:t>
      </w:r>
      <w:r>
        <w:rPr>
          <w:rFonts w:hint="eastAsia" w:ascii="仿宋_GB2312" w:eastAsia="仿宋_GB2312"/>
          <w:bCs/>
          <w:color w:val="000000"/>
          <w:kern w:val="0"/>
          <w:sz w:val="32"/>
          <w:szCs w:val="32"/>
        </w:rPr>
        <w:t>、邵阳市医疗事故技术鉴定工作办公室</w:t>
      </w:r>
      <w:r>
        <w:rPr>
          <w:rFonts w:hint="eastAsia" w:ascii="仿宋_GB2312"/>
          <w:bCs/>
          <w:color w:val="000000"/>
          <w:kern w:val="0"/>
          <w:sz w:val="32"/>
          <w:szCs w:val="32"/>
          <w:lang w:eastAsia="zh-CN"/>
        </w:rPr>
        <w:t>和</w:t>
      </w:r>
      <w:r>
        <w:rPr>
          <w:rFonts w:hint="eastAsia" w:ascii="仿宋_GB2312" w:eastAsia="仿宋_GB2312"/>
          <w:bCs/>
          <w:color w:val="000000"/>
          <w:kern w:val="0"/>
          <w:sz w:val="32"/>
          <w:szCs w:val="32"/>
          <w:lang w:val="en-US" w:eastAsia="zh-CN"/>
        </w:rPr>
        <w:t>邵阳市健康教育所</w:t>
      </w:r>
      <w:r>
        <w:rPr>
          <w:rFonts w:hint="eastAsia" w:ascii="仿宋_GB2312"/>
          <w:bCs/>
          <w:color w:val="000000"/>
          <w:kern w:val="0"/>
          <w:sz w:val="32"/>
          <w:szCs w:val="32"/>
          <w:lang w:val="en-US" w:eastAsia="zh-CN"/>
        </w:rPr>
        <w:t>等6个直属事业单位</w:t>
      </w:r>
      <w:r>
        <w:rPr>
          <w:rFonts w:hint="eastAsia" w:ascii="Times New Roman" w:hAnsi="Times New Roman" w:eastAsia="仿宋_GB2312" w:cs="Times New Roman"/>
          <w:color w:val="auto"/>
          <w:kern w:val="0"/>
          <w:sz w:val="32"/>
          <w:szCs w:val="32"/>
          <w:lang w:val="en-US" w:eastAsia="zh-CN"/>
        </w:rPr>
        <w:t>，二级预算单位人员编制数</w:t>
      </w:r>
      <w:r>
        <w:rPr>
          <w:rFonts w:hint="eastAsia" w:cs="Times New Roman"/>
          <w:color w:val="auto"/>
          <w:kern w:val="0"/>
          <w:sz w:val="32"/>
          <w:szCs w:val="32"/>
          <w:lang w:val="en-US" w:eastAsia="zh-CN"/>
        </w:rPr>
        <w:t>57</w:t>
      </w:r>
      <w:r>
        <w:rPr>
          <w:rFonts w:hint="eastAsia" w:ascii="Times New Roman" w:hAnsi="Times New Roman" w:eastAsia="仿宋_GB2312" w:cs="Times New Roman"/>
          <w:color w:val="auto"/>
          <w:kern w:val="0"/>
          <w:sz w:val="32"/>
          <w:szCs w:val="32"/>
          <w:lang w:val="en-US" w:eastAsia="zh-CN"/>
        </w:rPr>
        <w:t>人，截止</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年12月份在编在职人员</w:t>
      </w:r>
      <w:r>
        <w:rPr>
          <w:rFonts w:hint="eastAsia" w:cs="Times New Roman"/>
          <w:color w:val="auto"/>
          <w:kern w:val="0"/>
          <w:sz w:val="32"/>
          <w:szCs w:val="32"/>
          <w:lang w:val="en-US" w:eastAsia="zh-CN"/>
        </w:rPr>
        <w:t>55</w:t>
      </w:r>
      <w:r>
        <w:rPr>
          <w:rFonts w:hint="eastAsia" w:ascii="Times New Roman" w:hAnsi="Times New Roman" w:eastAsia="仿宋_GB2312" w:cs="Times New Roman"/>
          <w:color w:val="auto"/>
          <w:kern w:val="0"/>
          <w:sz w:val="32"/>
          <w:szCs w:val="32"/>
          <w:lang w:val="en-US" w:eastAsia="zh-CN"/>
        </w:rPr>
        <w:t>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单位主要职责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邵阳市卫生健康委员会是市人民政府工作部门，主要职能是： </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民健康政策及国家卫生健康法律法规，起草卫生健康事业发展地方性法规草案，拟订全市卫生健康政策、规划、地方标准和技术规范并组织实施。统筹规划全市卫生健康服务资源配置，指导区域卫生健康规划的编制和实施。制定并组织实施推进卫生健康基本公共服务均等化、普惠化、便捷化和公共资源向基层延伸等政策措施。</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定并组织落实全市疾病预防控制规划、免疫规划以及严重危害人民健康公共卫生问题的干预措施。负责卫生应急工作，组织指导突发公共卫生事件的预防控制和各类突发公共事件的医疗卫生救援。及时报告、发布传染病疫情信息。</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（4）协调落实应对人口老龄化政策措施，推进老年健康服务体系建设和医养结合工作。</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贯彻执行国家药物政策和国家基本药物制度，开展药品使用监测、临床综合评价和短缺药品预警。组织开展食品安全风险监测，依法制定并公布食品安全地方标准，负责食源性疾病及与食品安全事故有关的流行病学调查。</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（6）负责职责范围内的职业卫生、放射卫生、环境卫生、学校卫生、公共场所卫生、饮用水卫生等公共卫生的监督管理。负责传染病防治监督，健全卫生健康综合监督体系。</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（8）负责计划生育管理和服务工作，开展人口监测预警，研究提出人口与家庭发展相关政策建议，完善计划生育政策。</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（9）指导全市卫生健康工作，指导基层医疗卫生、妇幼健康服务体系建设，加强全科医生队伍建设。推进卫生健康科技创新发展。</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（10）负责全市健康教育、健康促进和卫生健康信息化建设等工作。组织指导国际交流合作与援外工作，开展与港澳台的交流与合作。</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（11）负责市保健对象的医疗保健工作，负责重要来宾、重要会议与重大活动的医疗卫生保障工作,指导全市保健工作。</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（12）指导市计划生育协会的业务工作。</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（13）完成市委、市政府交办的其他任务。</w:t>
      </w:r>
    </w:p>
    <w:p>
      <w:pPr>
        <w:adjustRightIn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职能转变。市卫生健康委应当牢固树立大卫生、大健康理念，推动实施健康邵阳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（15）有关职责分工。</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与市发展改革委的有关职责分工。市卫生健康委负责开展人口监测预警工作，研究提出与生育相关的人口数量、素质、结构、分布方面的政策建议，促进生育政策和相关经济社会政策配套衔接，参与制定人口发展规划和政策，落实市人口发展规划中的有关任务。市发展改革委负责组织监测和评估人口变动情况及趋势影响，建立人口预测预报制度，开展重大决策人口影响评估，完善重大人口政策咨询机制，研究提出全市人口发展战略，拟订人口发展规划，研究提出人口与经济、社会、资源、环境协调可持续发展，以及统筹促进人口长期均衡发展的政策建议。</w:t>
      </w:r>
    </w:p>
    <w:p>
      <w:pPr>
        <w:adjustRightInd w:val="0"/>
        <w:snapToGrid w:val="0"/>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②与市民政局的有关职责分工。市卫生健康委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起草养老服务地方性法规草案、拟订养老服务体系建设规划、政策、标准并组织实施，承担老年人福利和特殊困难老年人救助工作。</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与出入境检验检疫部门的有关职责分工。市卫生健康委负责传染病总体防治和突发公共卫生事件应急工作。市卫生健康委与出入境检验检疫部门建立健全应对口岸传染病疫情和公共卫生事件合作机制、传染病疫情和公共卫生事件通报交流机制、口岸输入性疫情通报和协作处理机制。</w:t>
      </w:r>
    </w:p>
    <w:p>
      <w:pPr>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与市市场监管局的有关职责分工。市卫生健康委负责食品安全风险监测工作，会同市市场监管局等部门制定、实施食品安全风险监测计划。市卫生健康委对通过食品安全风险监测或者接到举报发现食品可能存在安全隐患的，应当及时将相关信息通报市市场监管局等部门，市市场监管局等部门应当立即采取措施。市市场监管局等部门在监督管理工作中发现需要进行食品安全风险评估的，应当及时向市卫生健康委提出建议。市市场监管局会同市卫生健康委建立重大药品不良反应和医疗器械不良事件相互通报机制和联合处置机制。</w:t>
      </w:r>
    </w:p>
    <w:p>
      <w:pPr>
        <w:pStyle w:val="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⑤与市医保局的有关职责分工。市卫生健康委、市医保局等部门在医疗、医保、医药等方面加强制度、政策衔接，建立沟通协商机制，协同推进改革，提高医疗资源使用效率和医疗保障水平。</w:t>
      </w:r>
    </w:p>
    <w:p>
      <w:pPr>
        <w:pStyle w:val="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邵阳</w:t>
      </w:r>
      <w:r>
        <w:rPr>
          <w:rFonts w:hint="eastAsia" w:ascii="Times New Roman" w:hAnsi="Times New Roman" w:eastAsia="仿宋_GB2312" w:cs="Times New Roman"/>
          <w:color w:val="auto"/>
          <w:kern w:val="0"/>
          <w:sz w:val="32"/>
          <w:szCs w:val="32"/>
          <w:lang w:val="en-US" w:eastAsia="zh-CN"/>
        </w:rPr>
        <w:t>市</w:t>
      </w:r>
      <w:r>
        <w:rPr>
          <w:rFonts w:hint="eastAsia" w:cs="Times New Roman"/>
          <w:color w:val="auto"/>
          <w:kern w:val="0"/>
          <w:sz w:val="32"/>
          <w:szCs w:val="32"/>
          <w:lang w:val="en-US" w:eastAsia="zh-CN"/>
        </w:rPr>
        <w:t>卫生健康委员会</w:t>
      </w:r>
      <w:r>
        <w:rPr>
          <w:rFonts w:hint="eastAsia" w:ascii="Times New Roman" w:hAnsi="Times New Roman" w:eastAsia="仿宋_GB2312" w:cs="Times New Roman"/>
          <w:color w:val="auto"/>
          <w:kern w:val="0"/>
          <w:sz w:val="32"/>
          <w:szCs w:val="32"/>
          <w:lang w:val="en-US" w:eastAsia="zh-CN"/>
        </w:rPr>
        <w:t>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年度一般公共预算财政拨款年初结转和结余</w:t>
      </w:r>
      <w:r>
        <w:rPr>
          <w:rFonts w:hint="eastAsia" w:cs="Times New Roman"/>
          <w:color w:val="auto"/>
          <w:kern w:val="0"/>
          <w:sz w:val="32"/>
          <w:szCs w:val="32"/>
          <w:lang w:val="en-US" w:eastAsia="zh-CN"/>
        </w:rPr>
        <w:t>0.00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5647.89</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5512.92</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134.97</w:t>
      </w:r>
      <w:r>
        <w:rPr>
          <w:rFonts w:hint="eastAsia" w:ascii="Times New Roman" w:hAnsi="Times New Roman" w:eastAsia="仿宋_GB2312" w:cs="Times New Roman"/>
          <w:color w:val="auto"/>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eastAsia"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en-US" w:eastAsia="zh-CN"/>
        </w:rPr>
        <w:t>基本支出情况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邵阳市卫生健康委员会</w:t>
      </w:r>
      <w:r>
        <w:rPr>
          <w:rFonts w:hint="eastAsia" w:ascii="Times New Roman" w:hAnsi="Times New Roman" w:eastAsia="仿宋_GB2312" w:cs="Times New Roman"/>
          <w:color w:val="auto"/>
          <w:kern w:val="0"/>
          <w:sz w:val="32"/>
          <w:szCs w:val="32"/>
          <w:lang w:val="en-US" w:eastAsia="zh-CN"/>
        </w:rPr>
        <w:t>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年度一般公共预算财政拨款基本支出年初结转和结余0</w:t>
      </w:r>
      <w:r>
        <w:rPr>
          <w:rFonts w:hint="eastAsia" w:cs="Times New Roman"/>
          <w:color w:val="auto"/>
          <w:kern w:val="0"/>
          <w:sz w:val="32"/>
          <w:szCs w:val="32"/>
          <w:lang w:val="en-US" w:eastAsia="zh-CN"/>
        </w:rPr>
        <w:t>.00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2096.16</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2083.09</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13.07</w:t>
      </w:r>
      <w:r>
        <w:rPr>
          <w:rFonts w:hint="eastAsia" w:ascii="Times New Roman" w:hAnsi="Times New Roman" w:eastAsia="仿宋_GB2312" w:cs="Times New Roman"/>
          <w:color w:val="auto"/>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（二）项目支出情况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邵阳市卫生健康委员会</w:t>
      </w:r>
      <w:r>
        <w:rPr>
          <w:rFonts w:hint="eastAsia" w:ascii="Times New Roman" w:hAnsi="Times New Roman" w:eastAsia="仿宋_GB2312" w:cs="Times New Roman"/>
          <w:color w:val="auto"/>
          <w:kern w:val="0"/>
          <w:sz w:val="32"/>
          <w:szCs w:val="32"/>
          <w:lang w:val="en-US" w:eastAsia="zh-CN"/>
        </w:rPr>
        <w:t>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年度一般公共预算财政拨款项目支出年初结转和结余</w:t>
      </w:r>
      <w:r>
        <w:rPr>
          <w:rFonts w:hint="eastAsia" w:cs="Times New Roman"/>
          <w:color w:val="auto"/>
          <w:kern w:val="0"/>
          <w:sz w:val="32"/>
          <w:szCs w:val="32"/>
          <w:lang w:val="en-US" w:eastAsia="zh-CN"/>
        </w:rPr>
        <w:t>0.00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3551.73</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3429.83</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121.90</w:t>
      </w:r>
      <w:r>
        <w:rPr>
          <w:rFonts w:hint="eastAsia" w:ascii="Times New Roman" w:hAnsi="Times New Roman" w:eastAsia="仿宋_GB2312" w:cs="Times New Roman"/>
          <w:color w:val="auto"/>
          <w:kern w:val="0"/>
          <w:sz w:val="32"/>
          <w:szCs w:val="32"/>
          <w:lang w:val="en-US" w:eastAsia="zh-CN"/>
        </w:rPr>
        <w:t>万元。</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三、政府性基金预算支出情况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Times New Roman" w:hAnsi="Times New Roman" w:cs="Times New Roman"/>
          <w:color w:val="auto"/>
          <w:kern w:val="0"/>
          <w:sz w:val="32"/>
          <w:szCs w:val="32"/>
          <w:lang w:val="en-US" w:eastAsia="zh-CN" w:bidi="ar-SA"/>
        </w:rPr>
        <w:t>本</w:t>
      </w:r>
      <w:r>
        <w:rPr>
          <w:rFonts w:hint="eastAsia" w:ascii="Times New Roman" w:hAnsi="Times New Roman" w:eastAsia="仿宋_GB2312" w:cs="Times New Roman"/>
          <w:color w:val="auto"/>
          <w:kern w:val="0"/>
          <w:sz w:val="32"/>
          <w:szCs w:val="32"/>
          <w:lang w:val="en-US" w:eastAsia="zh-CN" w:bidi="ar-SA"/>
        </w:rPr>
        <w:t>单位</w:t>
      </w:r>
      <w:r>
        <w:rPr>
          <w:rFonts w:hint="eastAsia" w:ascii="Times New Roman" w:hAnsi="Times New Roman" w:cs="Times New Roman"/>
          <w:color w:val="auto"/>
          <w:kern w:val="0"/>
          <w:sz w:val="32"/>
          <w:szCs w:val="32"/>
          <w:lang w:val="en-US" w:eastAsia="zh-CN" w:bidi="ar-SA"/>
        </w:rPr>
        <w:t>及所属二级机构无</w:t>
      </w:r>
      <w:r>
        <w:rPr>
          <w:rFonts w:hint="eastAsia" w:ascii="Times New Roman" w:hAnsi="Times New Roman" w:eastAsia="仿宋_GB2312" w:cs="Times New Roman"/>
          <w:color w:val="auto"/>
          <w:kern w:val="0"/>
          <w:sz w:val="32"/>
          <w:szCs w:val="32"/>
          <w:lang w:val="en-US" w:eastAsia="zh-CN" w:bidi="ar-SA"/>
        </w:rPr>
        <w:t>政府性基金的</w:t>
      </w:r>
      <w:r>
        <w:rPr>
          <w:rFonts w:hint="eastAsia" w:ascii="Times New Roman" w:hAnsi="Times New Roman" w:cs="Times New Roman"/>
          <w:color w:val="auto"/>
          <w:kern w:val="0"/>
          <w:sz w:val="32"/>
          <w:szCs w:val="32"/>
          <w:lang w:val="en-US" w:eastAsia="zh-CN" w:bidi="ar-SA"/>
        </w:rPr>
        <w:t>资金</w:t>
      </w:r>
      <w:r>
        <w:rPr>
          <w:rFonts w:hint="eastAsia" w:ascii="Times New Roman" w:hAnsi="Times New Roman" w:eastAsia="仿宋_GB2312" w:cs="Times New Roman"/>
          <w:color w:val="auto"/>
          <w:kern w:val="0"/>
          <w:sz w:val="32"/>
          <w:szCs w:val="32"/>
          <w:lang w:val="en-US" w:eastAsia="zh-CN" w:bidi="ar-SA"/>
        </w:rPr>
        <w:t>使用情况。</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Times New Roman" w:hAnsi="Times New Roman" w:cs="Times New Roman"/>
          <w:color w:val="auto"/>
          <w:kern w:val="0"/>
          <w:sz w:val="32"/>
          <w:szCs w:val="32"/>
          <w:lang w:val="en-US" w:eastAsia="zh-CN" w:bidi="ar-SA"/>
        </w:rPr>
        <w:t>本</w:t>
      </w:r>
      <w:r>
        <w:rPr>
          <w:rFonts w:hint="eastAsia" w:ascii="Times New Roman" w:hAnsi="Times New Roman" w:eastAsia="仿宋_GB2312" w:cs="Times New Roman"/>
          <w:color w:val="auto"/>
          <w:kern w:val="0"/>
          <w:sz w:val="32"/>
          <w:szCs w:val="32"/>
          <w:lang w:val="en-US" w:eastAsia="zh-CN" w:bidi="ar-SA"/>
        </w:rPr>
        <w:t>单位</w:t>
      </w:r>
      <w:r>
        <w:rPr>
          <w:rFonts w:hint="eastAsia" w:ascii="Times New Roman" w:hAnsi="Times New Roman" w:cs="Times New Roman"/>
          <w:color w:val="auto"/>
          <w:kern w:val="0"/>
          <w:sz w:val="32"/>
          <w:szCs w:val="32"/>
          <w:lang w:val="en-US" w:eastAsia="zh-CN" w:bidi="ar-SA"/>
        </w:rPr>
        <w:t>及所属二级机构无</w:t>
      </w:r>
      <w:r>
        <w:rPr>
          <w:rFonts w:hint="eastAsia" w:ascii="Times New Roman" w:hAnsi="Times New Roman" w:eastAsia="仿宋_GB2312" w:cs="Times New Roman"/>
          <w:color w:val="auto"/>
          <w:kern w:val="0"/>
          <w:sz w:val="32"/>
          <w:szCs w:val="32"/>
          <w:lang w:val="en-US" w:eastAsia="zh-CN" w:bidi="ar-SA"/>
        </w:rPr>
        <w:t>国有资本经营的</w:t>
      </w:r>
      <w:r>
        <w:rPr>
          <w:rFonts w:hint="eastAsia" w:ascii="Times New Roman" w:hAnsi="Times New Roman" w:cs="Times New Roman"/>
          <w:color w:val="auto"/>
          <w:kern w:val="0"/>
          <w:sz w:val="32"/>
          <w:szCs w:val="32"/>
          <w:lang w:val="en-US" w:eastAsia="zh-CN" w:bidi="ar-SA"/>
        </w:rPr>
        <w:t>资金</w:t>
      </w:r>
      <w:r>
        <w:rPr>
          <w:rFonts w:hint="eastAsia" w:ascii="Times New Roman" w:hAnsi="Times New Roman" w:eastAsia="仿宋_GB2312" w:cs="Times New Roman"/>
          <w:color w:val="auto"/>
          <w:kern w:val="0"/>
          <w:sz w:val="32"/>
          <w:szCs w:val="32"/>
          <w:lang w:val="en-US" w:eastAsia="zh-CN" w:bidi="ar-SA"/>
        </w:rPr>
        <w:t>使用情况。</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cs="Times New Roman"/>
          <w:color w:val="auto"/>
          <w:kern w:val="0"/>
          <w:sz w:val="32"/>
          <w:szCs w:val="32"/>
          <w:lang w:val="en-US" w:eastAsia="zh-CN" w:bidi="ar-SA"/>
        </w:rPr>
        <w:t>本</w:t>
      </w:r>
      <w:r>
        <w:rPr>
          <w:rFonts w:hint="eastAsia" w:ascii="Times New Roman" w:hAnsi="Times New Roman" w:eastAsia="仿宋_GB2312" w:cs="Times New Roman"/>
          <w:color w:val="auto"/>
          <w:kern w:val="0"/>
          <w:sz w:val="32"/>
          <w:szCs w:val="32"/>
          <w:lang w:val="en-US" w:eastAsia="zh-CN" w:bidi="ar-SA"/>
        </w:rPr>
        <w:t>单位</w:t>
      </w:r>
      <w:r>
        <w:rPr>
          <w:rFonts w:hint="eastAsia" w:ascii="Times New Roman" w:hAnsi="Times New Roman" w:cs="Times New Roman"/>
          <w:color w:val="auto"/>
          <w:kern w:val="0"/>
          <w:sz w:val="32"/>
          <w:szCs w:val="32"/>
          <w:lang w:val="en-US" w:eastAsia="zh-CN" w:bidi="ar-SA"/>
        </w:rPr>
        <w:t>及所属二级机构无</w:t>
      </w:r>
      <w:r>
        <w:rPr>
          <w:rFonts w:hint="eastAsia" w:ascii="Times New Roman" w:hAnsi="Times New Roman" w:eastAsia="仿宋_GB2312" w:cs="Times New Roman"/>
          <w:color w:val="auto"/>
          <w:kern w:val="0"/>
          <w:sz w:val="32"/>
          <w:szCs w:val="32"/>
          <w:lang w:val="en-US" w:eastAsia="zh-CN" w:bidi="ar-SA"/>
        </w:rPr>
        <w:t>社会保险基金的</w:t>
      </w:r>
      <w:r>
        <w:rPr>
          <w:rFonts w:hint="eastAsia" w:ascii="Times New Roman" w:hAnsi="Times New Roman" w:cs="Times New Roman"/>
          <w:color w:val="auto"/>
          <w:kern w:val="0"/>
          <w:sz w:val="32"/>
          <w:szCs w:val="32"/>
          <w:lang w:val="en-US" w:eastAsia="zh-CN" w:bidi="ar-SA"/>
        </w:rPr>
        <w:t>资金</w:t>
      </w:r>
      <w:r>
        <w:rPr>
          <w:rFonts w:hint="eastAsia" w:ascii="Times New Roman" w:hAnsi="Times New Roman" w:eastAsia="仿宋_GB2312" w:cs="Times New Roman"/>
          <w:color w:val="auto"/>
          <w:kern w:val="0"/>
          <w:sz w:val="32"/>
          <w:szCs w:val="32"/>
          <w:lang w:val="en-US" w:eastAsia="zh-CN" w:bidi="ar-SA"/>
        </w:rPr>
        <w:t>使用情况。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、部门整体支出绩效情况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w:t>
      </w:r>
      <w:r>
        <w:rPr>
          <w:rFonts w:hint="eastAsia" w:cs="Times New Roman"/>
          <w:color w:val="auto"/>
          <w:kern w:val="0"/>
          <w:sz w:val="32"/>
          <w:szCs w:val="32"/>
          <w:lang w:val="en" w:eastAsia="zh-CN"/>
        </w:rPr>
        <w:t>全市卫生健康工作</w:t>
      </w:r>
      <w:r>
        <w:rPr>
          <w:rFonts w:hint="eastAsia" w:ascii="Times New Roman" w:hAnsi="Times New Roman" w:eastAsia="仿宋_GB2312" w:cs="Times New Roman"/>
          <w:color w:val="auto"/>
          <w:kern w:val="0"/>
          <w:sz w:val="32"/>
          <w:szCs w:val="32"/>
          <w:lang w:val="en" w:eastAsia="zh-CN"/>
        </w:rPr>
        <w:t>在市委、市政府的领导下，全力推</w:t>
      </w:r>
      <w:r>
        <w:rPr>
          <w:rFonts w:hint="eastAsia" w:cs="Times New Roman"/>
          <w:color w:val="auto"/>
          <w:kern w:val="0"/>
          <w:sz w:val="32"/>
          <w:szCs w:val="32"/>
          <w:lang w:val="en" w:eastAsia="zh-CN"/>
        </w:rPr>
        <w:t>进健康邵阳建设，</w:t>
      </w:r>
      <w:r>
        <w:rPr>
          <w:rFonts w:hint="eastAsia" w:ascii="仿宋_GB2312" w:hAnsi="仿宋_GB2312" w:eastAsia="仿宋_GB2312" w:cs="仿宋_GB2312"/>
          <w:color w:val="auto"/>
          <w:sz w:val="32"/>
          <w:szCs w:val="32"/>
        </w:rPr>
        <w:t>公共卫生服务能力</w:t>
      </w:r>
      <w:r>
        <w:rPr>
          <w:rFonts w:hint="eastAsia" w:ascii="仿宋_GB2312" w:hAnsi="仿宋_GB2312" w:eastAsia="仿宋_GB2312" w:cs="仿宋_GB2312"/>
          <w:color w:val="auto"/>
          <w:sz w:val="32"/>
          <w:szCs w:val="32"/>
          <w:lang w:val="en-US" w:eastAsia="zh-CN"/>
        </w:rPr>
        <w:t>逐步完善</w:t>
      </w:r>
      <w:r>
        <w:rPr>
          <w:rFonts w:hint="eastAsia" w:ascii="仿宋_GB2312" w:hAnsi="仿宋_GB2312" w:cs="仿宋_GB2312"/>
          <w:color w:val="auto"/>
          <w:sz w:val="32"/>
          <w:szCs w:val="32"/>
          <w:lang w:val="en-US" w:eastAsia="zh-CN"/>
        </w:rPr>
        <w:t>，</w:t>
      </w:r>
      <w:r>
        <w:rPr>
          <w:rFonts w:hint="eastAsia" w:cs="Times New Roman"/>
          <w:color w:val="auto"/>
          <w:kern w:val="0"/>
          <w:sz w:val="32"/>
          <w:szCs w:val="32"/>
          <w:lang w:val="en" w:eastAsia="zh-CN"/>
        </w:rPr>
        <w:t>具体成效如下：</w:t>
      </w:r>
    </w:p>
    <w:p>
      <w:pPr>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1、积极稳妥抓好疫情防控。</w:t>
      </w:r>
      <w:r>
        <w:rPr>
          <w:rFonts w:hint="eastAsia" w:ascii="仿宋_GB2312" w:hAnsi="仿宋_GB2312" w:eastAsia="仿宋_GB2312" w:cs="仿宋_GB2312"/>
          <w:sz w:val="32"/>
          <w:szCs w:val="32"/>
        </w:rPr>
        <w:t>深入学习贯彻习近平总书记关于疫情防控的重要指示精神，毫不动摇坚持“外防输入、内防反弹”总策略和“动态清零”总方针。严格按照第九版防控方案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“九不准”要求</w:t>
      </w:r>
      <w:r>
        <w:rPr>
          <w:rFonts w:hint="eastAsia" w:ascii="仿宋_GB2312" w:hAnsi="仿宋_GB2312" w:eastAsia="仿宋_GB2312" w:cs="仿宋_GB2312"/>
          <w:sz w:val="32"/>
          <w:szCs w:val="32"/>
          <w:lang w:val="en-US" w:eastAsia="zh-CN"/>
        </w:rPr>
        <w:t>以及联防联控机制20条优化措施</w:t>
      </w:r>
      <w:r>
        <w:rPr>
          <w:rFonts w:hint="eastAsia" w:ascii="仿宋_GB2312" w:hAnsi="仿宋_GB2312" w:eastAsia="仿宋_GB2312" w:cs="仿宋_GB2312"/>
          <w:sz w:val="32"/>
          <w:szCs w:val="32"/>
        </w:rPr>
        <w:t>，落实“四方责任”，以快制快阻断疫情传播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最大程度减少疫情对经济社会发展的影响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一是抓实顶层谋划，扛牢政治责任。市委、市政府高度重视，市委书记、市长亲自指挥调度部署，召开专题会议85次；强化制度建设，</w:t>
      </w:r>
      <w:r>
        <w:rPr>
          <w:rFonts w:hint="eastAsia" w:ascii="仿宋_GB2312" w:hAnsi="仿宋_GB2312" w:eastAsia="仿宋_GB2312" w:cs="仿宋_GB2312"/>
          <w:sz w:val="32"/>
          <w:szCs w:val="32"/>
        </w:rPr>
        <w:t>制定下发《出现新冠阳性感染者应急处置工作要点》第一版和第二版</w:t>
      </w:r>
      <w:r>
        <w:rPr>
          <w:rFonts w:hint="eastAsia" w:ascii="仿宋_GB2312" w:hAnsi="仿宋_GB2312" w:eastAsia="仿宋_GB2312" w:cs="仿宋_GB2312"/>
          <w:sz w:val="32"/>
          <w:szCs w:val="32"/>
          <w:lang w:val="en-US" w:eastAsia="zh-CN"/>
        </w:rPr>
        <w:t>，优化完善了专项工作组16个应急处置工作方案，下发《关于严格落实特别防护期全市疫情防控八项重点工作的通知》；建立了市委常委包县市区、“三包”防控机制和“五联”工作机制。二是抓实排查管控，严防外部输入。严守交通卡口，设置健康服务站56个，累计查验车辆782.26万台次，查验人员1877.52万人次；扎实开展“自主摸排”“敲门行动”，摸排涉疫入（返）邵人员69.21万人；强化预警监测，截至10月13日，全市20类重点人群录入19.71万人，累计核酸检测584.43万人次，全市共申领场所码 25.2万个，扫码 13173万次。三是抓实防控体系，夯实基层基础。确保指挥体系始终保持激活状态，坚决落实集中办公、领导带班、24小时人员值班在岗，着力构建上下连贯、左右兼顾、运转高效、推动有力的疫情防控工作格局；建成5000张床位的方舱医院，储备集中隔离点359个、36830间房，设置96孔核酸检测仪412台，日检测能力提升24.66万管，储备专业检测人员1218人；推进疫苗接种，截至12月28日累计接种新冠病毒疫苗1398.81万剂次，其中基础免疫1076.87万剂次，加强针接种321.94万剂次，3岁以上人群全程接种率99.48%，加强针接种占比97.7%。四是抓实学习培训，确保能力提升。第一时间抓好第九版方案、联防联控机制20条优化措施等国家、省会议和文件精神的学习培训、传达贯彻，邀请各级专家就新规新案作辅导报告，市级领导带头参加，累计开展培训2133批次共计21.45万人次参训，做到全市疫情防控工作人员学习培训全覆盖。突出学以致用、学用结合，积极组织开展市、县两级疫情防控应急演练，切实提升应急能力。五是抓实督导检查，强化问题整改。建立分级分类督导机制，统筹负责常态化防控工作督导和重点行业督导；常态开展督导，围绕疫情防控组织领导、双向排查、闭环转运、隔离场所管理、医疗机构疫情防控、社区防控、重点场所管理、常态化监测等方面，对各县市区进行20余次全面督导；认真查找防控风险点和薄弱环节，及时补齐短板，对于督查中发现的问题，要求举一反三、标本兼治，整改到位省督导反馈问题30余个、市督导反馈问题70个、自查整改问题135个。</w:t>
      </w:r>
    </w:p>
    <w:p>
      <w:pPr>
        <w:snapToGrid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全力推进健康邵阳建设。</w:t>
      </w:r>
      <w:r>
        <w:rPr>
          <w:rFonts w:hint="eastAsia" w:ascii="仿宋_GB2312" w:hAnsi="仿宋_GB2312" w:eastAsia="仿宋_GB2312" w:cs="仿宋_GB2312"/>
          <w:sz w:val="32"/>
          <w:szCs w:val="32"/>
        </w:rPr>
        <w:t>一是深入贯彻落实健康邵阳“十四五”建设规划。扎实开展15个专项行动，认真研究部署全国健康城市评价工作，开展健康促进城市基线调研，深刻解读评价指标，压实各方主体责任。二是深化健康科普宣传。</w:t>
      </w:r>
      <w:r>
        <w:rPr>
          <w:rFonts w:hint="default" w:ascii="仿宋_GB2312" w:hAnsi="仿宋_GB2312" w:eastAsia="仿宋_GB2312" w:cs="仿宋_GB2312"/>
          <w:sz w:val="32"/>
          <w:szCs w:val="32"/>
          <w:lang w:val="en-US" w:eastAsia="zh-CN"/>
        </w:rPr>
        <w:t>积极倡导文明健康、绿色环保的生活方式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截止目前</w:t>
      </w:r>
      <w:r>
        <w:rPr>
          <w:rFonts w:hint="eastAsia" w:ascii="仿宋_GB2312" w:hAnsi="仿宋_GB2312" w:eastAsia="仿宋_GB2312" w:cs="仿宋_GB2312"/>
          <w:sz w:val="32"/>
          <w:szCs w:val="32"/>
          <w:lang w:val="en-US" w:eastAsia="zh-CN"/>
        </w:rPr>
        <w:t>，全市</w:t>
      </w:r>
      <w:r>
        <w:rPr>
          <w:rFonts w:hint="default" w:ascii="仿宋_GB2312" w:hAnsi="仿宋_GB2312" w:eastAsia="仿宋_GB2312" w:cs="仿宋_GB2312"/>
          <w:sz w:val="32"/>
          <w:szCs w:val="32"/>
          <w:lang w:val="en-US" w:eastAsia="zh-CN"/>
        </w:rPr>
        <w:t>共印</w:t>
      </w:r>
      <w:r>
        <w:rPr>
          <w:rFonts w:hint="eastAsia" w:ascii="仿宋_GB2312" w:hAnsi="仿宋_GB2312" w:eastAsia="仿宋_GB2312" w:cs="仿宋_GB2312"/>
          <w:sz w:val="32"/>
          <w:szCs w:val="32"/>
          <w:lang w:val="en-US" w:eastAsia="zh-CN"/>
        </w:rPr>
        <w:t>发放健康知识宣传</w:t>
      </w:r>
      <w:r>
        <w:rPr>
          <w:rFonts w:hint="default" w:ascii="仿宋_GB2312" w:hAnsi="仿宋_GB2312" w:eastAsia="仿宋_GB2312" w:cs="仿宋_GB2312"/>
          <w:sz w:val="32"/>
          <w:szCs w:val="32"/>
          <w:lang w:val="en-US" w:eastAsia="zh-CN"/>
        </w:rPr>
        <w:t>折页</w:t>
      </w:r>
      <w:r>
        <w:rPr>
          <w:rFonts w:hint="eastAsia" w:ascii="仿宋_GB2312" w:hAnsi="仿宋_GB2312" w:eastAsia="仿宋_GB2312" w:cs="仿宋_GB2312"/>
          <w:sz w:val="32"/>
          <w:szCs w:val="32"/>
          <w:lang w:val="en-US" w:eastAsia="zh-CN"/>
        </w:rPr>
        <w:t>20万余份</w:t>
      </w:r>
      <w:r>
        <w:rPr>
          <w:rFonts w:hint="default" w:ascii="仿宋_GB2312" w:hAnsi="仿宋_GB2312" w:eastAsia="仿宋_GB2312" w:cs="仿宋_GB2312"/>
          <w:sz w:val="32"/>
          <w:szCs w:val="32"/>
          <w:lang w:val="en-US" w:eastAsia="zh-CN"/>
        </w:rPr>
        <w:t>、常态化防控手册</w:t>
      </w:r>
      <w:r>
        <w:rPr>
          <w:rFonts w:hint="eastAsia" w:ascii="仿宋_GB2312" w:hAnsi="仿宋_GB2312" w:eastAsia="仿宋_GB2312" w:cs="仿宋_GB2312"/>
          <w:sz w:val="32"/>
          <w:szCs w:val="32"/>
          <w:lang w:val="en-US" w:eastAsia="zh-CN"/>
        </w:rPr>
        <w:t>10万余</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张贴</w:t>
      </w:r>
      <w:r>
        <w:rPr>
          <w:rFonts w:hint="default" w:ascii="仿宋_GB2312" w:hAnsi="仿宋_GB2312" w:eastAsia="仿宋_GB2312" w:cs="仿宋_GB2312"/>
          <w:sz w:val="32"/>
          <w:szCs w:val="32"/>
          <w:lang w:val="en-US" w:eastAsia="zh-CN"/>
        </w:rPr>
        <w:t>防控宣传海报</w:t>
      </w:r>
      <w:r>
        <w:rPr>
          <w:rFonts w:hint="eastAsia" w:ascii="仿宋_GB2312" w:hAnsi="仿宋_GB2312" w:eastAsia="仿宋_GB2312" w:cs="仿宋_GB2312"/>
          <w:sz w:val="32"/>
          <w:szCs w:val="32"/>
          <w:lang w:val="en-US" w:eastAsia="zh-CN"/>
        </w:rPr>
        <w:t>1.8万张</w:t>
      </w:r>
      <w:r>
        <w:rPr>
          <w:rFonts w:hint="default" w:ascii="仿宋_GB2312" w:hAnsi="仿宋_GB2312" w:eastAsia="仿宋_GB2312" w:cs="仿宋_GB2312"/>
          <w:sz w:val="32"/>
          <w:szCs w:val="32"/>
          <w:lang w:val="en-US" w:eastAsia="zh-CN"/>
        </w:rPr>
        <w:t>、宣传展板</w:t>
      </w:r>
      <w:r>
        <w:rPr>
          <w:rFonts w:hint="eastAsia" w:ascii="仿宋_GB2312" w:hAnsi="仿宋_GB2312" w:eastAsia="仿宋_GB2312" w:cs="仿宋_GB2312"/>
          <w:sz w:val="32"/>
          <w:szCs w:val="32"/>
          <w:lang w:val="en-US" w:eastAsia="zh-CN"/>
        </w:rPr>
        <w:t>2000余</w:t>
      </w:r>
      <w:r>
        <w:rPr>
          <w:rFonts w:hint="default" w:ascii="仿宋_GB2312" w:hAnsi="仿宋_GB2312" w:eastAsia="仿宋_GB2312" w:cs="仿宋_GB2312"/>
          <w:sz w:val="32"/>
          <w:szCs w:val="32"/>
          <w:lang w:val="en-US" w:eastAsia="zh-CN"/>
        </w:rPr>
        <w:t>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val="en-US" w:eastAsia="zh-CN"/>
        </w:rPr>
        <w:t>开展健康县市区建设。目前全市共创建健康促进学校413家、健康促进医院115家、健康促进单位192家、健康促进企业64家、健康促进社区59个、健康促进村283个，健康促进家庭15.39户，健康主题公园7个、健康主题步道（一条街）10条。</w:t>
      </w:r>
      <w:r>
        <w:rPr>
          <w:rFonts w:hint="eastAsia" w:ascii="仿宋_GB2312" w:hAnsi="仿宋_GB2312" w:eastAsia="仿宋_GB2312" w:cs="仿宋_GB2312"/>
          <w:sz w:val="32"/>
          <w:szCs w:val="32"/>
        </w:rPr>
        <w:t>四是</w:t>
      </w:r>
      <w:r>
        <w:rPr>
          <w:rFonts w:hint="eastAsia" w:ascii="仿宋_GB2312" w:hAnsi="仿宋_GB2312" w:eastAsia="仿宋_GB2312" w:cs="仿宋_GB2312"/>
          <w:sz w:val="32"/>
          <w:szCs w:val="32"/>
          <w:lang w:val="en-US" w:eastAsia="zh-CN"/>
        </w:rPr>
        <w:t>全面完成居民健康素养监测工作。根据国家和省里安排，2022年我市在邵东市开展国家级居民健康素养监测，在北塔区开展省级健康素养监测，经省市级复核，监测合格率达100%，保证了监测工作质量。初步监测数据显示：我市居民健康素养总体水平达25%左右，较2021年度的23.86%提高了1个百分点。</w:t>
      </w:r>
      <w:r>
        <w:rPr>
          <w:rFonts w:hint="eastAsia" w:ascii="仿宋_GB2312" w:hAnsi="仿宋_GB2312" w:eastAsia="仿宋_GB2312" w:cs="仿宋_GB2312"/>
          <w:sz w:val="32"/>
          <w:szCs w:val="32"/>
        </w:rPr>
        <w:t>五是持续推进爱国卫生运动。完成了2个</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卫生县城</w:t>
      </w:r>
      <w:r>
        <w:rPr>
          <w:rFonts w:hint="eastAsia" w:ascii="仿宋_GB2312" w:hAnsi="仿宋_GB2312" w:eastAsia="仿宋_GB2312" w:cs="仿宋_GB2312"/>
          <w:sz w:val="32"/>
          <w:szCs w:val="32"/>
          <w:lang w:eastAsia="zh-CN"/>
        </w:rPr>
        <w:t>复审</w:t>
      </w:r>
      <w:r>
        <w:rPr>
          <w:rFonts w:hint="eastAsia" w:ascii="仿宋_GB2312" w:hAnsi="仿宋_GB2312" w:eastAsia="仿宋_GB2312" w:cs="仿宋_GB2312"/>
          <w:sz w:val="32"/>
          <w:szCs w:val="32"/>
        </w:rPr>
        <w:t>验收工作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组织开展了纪念爱国卫生运动70周年暨世界无烟日系列宣传活动。</w:t>
      </w:r>
    </w:p>
    <w:p>
      <w:pPr>
        <w:snapToGrid w:val="0"/>
        <w:spacing w:line="52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全面深化医药卫生体制改革。</w:t>
      </w:r>
      <w:r>
        <w:rPr>
          <w:rFonts w:hint="eastAsia" w:ascii="仿宋_GB2312" w:hAnsi="仿宋_GB2312" w:eastAsia="仿宋_GB2312" w:cs="仿宋_GB2312"/>
          <w:sz w:val="32"/>
          <w:szCs w:val="32"/>
        </w:rPr>
        <w:t>一是推动公立医院及基层卫生健康事业高质量发展。制定下发《贯彻落实〈湖南省人民政府办公厅关于促进基层卫生健康事业高质量发展的意见〉的工作方案》《邵阳市推动公立医院高质量发展实施方案》。规划组建城市医疗集团，积极推进加强省级和市级临床重点专科建设，科学规划全市医疗资源。推进医共体与专科联盟，组建各类形式医疗联合体66个，其中县域医共体38个，专科联盟18个，多措并举提升县域医疗服务水平，完善分级诊疗体系，优化医疗资源配置，构建“村乡县市”四级接诊网络。家庭医生签约1628586人次，签约率37.33%。加强基卫队伍建设，今年全市共招考320名医卫人员进入基层医疗卫生机构工作，全市完成基层医疗卫生机构本土化专科层次人才定向培养招生工作，共录取107人。</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深化人事薪酬制度改革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台《邵阳市公立医院薪酬制度改革实施办法》，医院劳动工资较同期增长26.50%，市直公立医院人员费用占费用总额比例为28.89%，薪酬固定部分占比达到18.81%。鼓励县市区对本科及以上学历医学生实行“县管乡用”。培训全科转岗医生200人，招收规培医师125名。</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减轻群众就医负担。通过加强医药费用增长监测以及卫生行业作风建设，将医药费用控制情况（个人自付费用情况）纳入DIP运行综合评价体系指标等一系列举措，县级、城市公立医院次均门诊费用分别降低0.41%、3.65%，人均住院费用分别降低0.15%、4.57%。</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提高县域就诊率。全市基层医疗卫生机构诊疗人次数占总人次数比例56.71%，较去年同期增加6.59%，县域内住院就诊率达到93.6%。</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推进“互联网+健康医疗”全市172家乡镇卫生院（社区卫生服务中心）、21家二级及以上公立医院的远程诊室完成与省级远程医疗服务平台对接，实行远程诊疗服务24087次；36家二级及以上公立医院完成应用环境改造35家，完成率97.2%，基层医疗卫生机构完成应用环境改造214家，完成率100%。</w:t>
      </w:r>
    </w:p>
    <w:p>
      <w:pPr>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4、加快完善公共卫生服务体系。</w:t>
      </w:r>
      <w:r>
        <w:rPr>
          <w:rFonts w:hint="eastAsia" w:ascii="仿宋_GB2312" w:hAnsi="仿宋_GB2312" w:eastAsia="仿宋_GB2312" w:cs="仿宋_GB2312"/>
          <w:sz w:val="32"/>
          <w:szCs w:val="32"/>
          <w:lang w:val="en-US" w:eastAsia="zh-CN"/>
        </w:rPr>
        <w:t>一是推进疾控机制建设。全市二级以上医疗机构设立公共卫生科，市本级配备了疾控局局长，市疾控中心上半年通过人才引进，公开招聘充实疾控专业人员13人。二是实现</w:t>
      </w:r>
      <w:r>
        <w:rPr>
          <w:rFonts w:hint="eastAsia" w:ascii="仿宋_GB2312" w:hAnsi="仿宋_GB2312" w:eastAsia="仿宋_GB2312" w:cs="仿宋_GB2312"/>
          <w:sz w:val="32"/>
          <w:szCs w:val="32"/>
        </w:rPr>
        <w:t>县级疾控中心</w:t>
      </w:r>
      <w:r>
        <w:rPr>
          <w:rFonts w:hint="eastAsia" w:ascii="仿宋_GB2312" w:hAnsi="仿宋_GB2312" w:eastAsia="仿宋_GB2312" w:cs="仿宋_GB2312"/>
          <w:sz w:val="32"/>
          <w:szCs w:val="32"/>
          <w:lang w:val="en-US" w:eastAsia="zh-CN"/>
        </w:rPr>
        <w:t>达标建设。</w:t>
      </w:r>
      <w:r>
        <w:rPr>
          <w:rFonts w:hint="eastAsia" w:ascii="仿宋_GB2312" w:hAnsi="仿宋_GB2312" w:eastAsia="仿宋_GB2312" w:cs="仿宋_GB2312"/>
          <w:sz w:val="32"/>
          <w:szCs w:val="32"/>
        </w:rPr>
        <w:t>邵东市、武冈市疾控中心建筑面积和实验室占比完成进度100%；邵东市A类仪器完成进度81.4%，A类检验能力达100%。武冈市疾控中心A类仪器已全部招标，A类检验能力达100%。</w:t>
      </w: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落实重大疾病防控及免疫规划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接诊可疑肺结核患者11016人，影像学检查10895人，检查率98.9%；累计报告艾滋病感染者和病人7065人，符合抗病毒治疗条件的病人治疗比例达89.64%。常规儿童接种量达95%以上。</w:t>
      </w:r>
      <w:r>
        <w:rPr>
          <w:rFonts w:hint="eastAsia" w:ascii="仿宋_GB2312" w:hAnsi="仿宋_GB2312" w:eastAsia="仿宋_GB2312" w:cs="仿宋_GB2312"/>
          <w:sz w:val="32"/>
          <w:szCs w:val="32"/>
          <w:lang w:val="en-US" w:eastAsia="zh-CN"/>
        </w:rPr>
        <w:t>四是护航劳动人群职业健康。持续开展国家职业病防治监测项目，覆盖企业152家，完成率107.2%；建成基层医疗机构尘肺病康复站10家，救治救助农民工尘肺病患者1800人，超额完成省指标任务；普及职业健康法律知识，压实各方职业病防治主体责任，6名劳动者被授予省“职业健康达人”称号。</w:t>
      </w:r>
    </w:p>
    <w:p>
      <w:pPr>
        <w:snapToGrid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5、持续提升医疗服务水平。</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打造医疗卫生服务高地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组建市中心医院、中医医院、邵阳学院附属第一医院牵头，各县市医疗卫生机构加盟的紧密型城市医疗集团，统筹负责网格内居民一体化、连续性医疗服务。加强省级和市级临床重点专科建设，科学规划全市医疗资源。</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加快医疗卫生项目建设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提速卫健领域基础设施建设，积极争取亿元以上的重大项目30个，总投资84.9亿元。高效推进5个重点建设项目：市中医医院岐黄综合大楼项目、市妇幼保健院整体改扩建项目、市第三人民医院新建项目、</w:t>
      </w:r>
      <w:r>
        <w:rPr>
          <w:rFonts w:hint="eastAsia" w:ascii="仿宋_GB2312" w:hAnsi="仿宋_GB2312" w:eastAsia="仿宋_GB2312" w:cs="仿宋_GB2312"/>
          <w:sz w:val="32"/>
          <w:szCs w:val="32"/>
          <w:lang w:val="en-US" w:eastAsia="zh-CN"/>
        </w:rPr>
        <w:t>隆回县人民医院整体搬迁项目、邵东市中医医院整体搬迁项目等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完善医疗卫生服务体系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下发《2022年邵阳市公立医院综合改革真抓实干成效明显督查激励工作方案》，将医改重点任务完成情况作为全市全面深化改革和绩效考核的重要内容。全市公立医院制定了医院章程，建立了审计机制，落实了总会计师制度。</w:t>
      </w:r>
    </w:p>
    <w:p>
      <w:pPr>
        <w:snapToGrid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不断优化重点人群健康服务。</w:t>
      </w:r>
      <w:r>
        <w:rPr>
          <w:rFonts w:hint="eastAsia" w:ascii="仿宋_GB2312" w:hAnsi="仿宋_GB2312" w:eastAsia="仿宋_GB2312" w:cs="仿宋_GB2312"/>
          <w:sz w:val="32"/>
          <w:szCs w:val="32"/>
          <w:lang w:eastAsia="zh-CN"/>
        </w:rPr>
        <w:t>一是关心呵护妇幼健康。开展新生儿先心病免费筛查技术培训，新生儿先心病免费筛查30632人，人群覆盖率116.03%，孕产妇免费产前筛查30343人，人群覆盖率114.94%，“两癌”筛查98311人，完成比例102.58%。全市新生儿疾病筛查率、新生儿听力筛查率分别达到98.11%、98.1%。</w:t>
      </w:r>
      <w:r>
        <w:rPr>
          <w:rFonts w:hint="eastAsia" w:ascii="仿宋_GB2312" w:hAnsi="仿宋_GB2312" w:eastAsia="仿宋_GB2312" w:cs="仿宋_GB2312"/>
          <w:sz w:val="32"/>
          <w:szCs w:val="32"/>
        </w:rPr>
        <w:t>抓好3岁以下婴幼儿照护服务工作，出台《促进3岁以下婴幼儿照护服务发展的实施方案》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家托育机构完成备案。</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建立健全老年健康体系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全市42家二级及以上综合医院有31家开设老年医学科，占比73.81%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158家医院完成老年友善医疗机构建设任务，完成率86%，167家养老机构与医疗卫生机构已完成医养签约，签约率达到100%。</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val="en-US" w:eastAsia="zh-CN"/>
        </w:rPr>
        <w:t>“银龄安康”工程，</w:t>
      </w:r>
      <w:r>
        <w:rPr>
          <w:rFonts w:hint="eastAsia" w:ascii="仿宋_GB2312" w:hAnsi="仿宋_GB2312" w:eastAsia="仿宋_GB2312" w:cs="仿宋_GB2312"/>
          <w:sz w:val="32"/>
          <w:szCs w:val="32"/>
        </w:rPr>
        <w:t>构筑老年人风险防范体系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参保老年人</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6.85</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，覆盖率为</w:t>
      </w:r>
      <w:r>
        <w:rPr>
          <w:rFonts w:hint="eastAsia" w:ascii="仿宋_GB2312" w:hAnsi="仿宋_GB2312" w:eastAsia="仿宋_GB2312" w:cs="仿宋_GB2312"/>
          <w:sz w:val="32"/>
          <w:szCs w:val="32"/>
          <w:lang w:val="en-US" w:eastAsia="zh-CN"/>
        </w:rPr>
        <w:t>22.78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共收取保费</w:t>
      </w:r>
      <w:r>
        <w:rPr>
          <w:rFonts w:hint="eastAsia" w:ascii="仿宋_GB2312" w:hAnsi="仿宋_GB2312" w:eastAsia="仿宋_GB2312" w:cs="仿宋_GB2312"/>
          <w:sz w:val="32"/>
          <w:szCs w:val="32"/>
          <w:lang w:val="en-US" w:eastAsia="zh-CN"/>
        </w:rPr>
        <w:t>871.2</w:t>
      </w:r>
      <w:r>
        <w:rPr>
          <w:rFonts w:hint="eastAsia" w:ascii="仿宋_GB2312" w:hAnsi="仿宋_GB2312" w:eastAsia="仿宋_GB2312" w:cs="仿宋_GB2312"/>
          <w:sz w:val="32"/>
          <w:szCs w:val="32"/>
        </w:rPr>
        <w:t>万元，其中政府出资4</w:t>
      </w:r>
      <w:r>
        <w:rPr>
          <w:rFonts w:hint="eastAsia" w:ascii="仿宋_GB2312" w:hAnsi="仿宋_GB2312" w:eastAsia="仿宋_GB2312" w:cs="仿宋_GB2312"/>
          <w:sz w:val="32"/>
          <w:szCs w:val="32"/>
          <w:lang w:val="en-US" w:eastAsia="zh-CN"/>
        </w:rPr>
        <w:t>60.6</w:t>
      </w:r>
      <w:r>
        <w:rPr>
          <w:rFonts w:hint="eastAsia" w:ascii="仿宋_GB2312" w:hAnsi="仿宋_GB2312" w:eastAsia="仿宋_GB2312" w:cs="仿宋_GB2312"/>
          <w:sz w:val="32"/>
          <w:szCs w:val="32"/>
        </w:rPr>
        <w:t>万元，为1</w:t>
      </w:r>
      <w:r>
        <w:rPr>
          <w:rFonts w:hint="eastAsia" w:ascii="仿宋_GB2312" w:hAnsi="仿宋_GB2312" w:eastAsia="仿宋_GB2312" w:cs="仿宋_GB2312"/>
          <w:sz w:val="32"/>
          <w:szCs w:val="32"/>
          <w:lang w:val="en-US" w:eastAsia="zh-CN"/>
        </w:rPr>
        <w:t>7.89</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特困老年人购买了老年人意外伤害保险；理赔案件数</w:t>
      </w:r>
      <w:r>
        <w:rPr>
          <w:rFonts w:hint="eastAsia" w:ascii="仿宋_GB2312" w:hAnsi="仿宋_GB2312" w:eastAsia="仿宋_GB2312" w:cs="仿宋_GB2312"/>
          <w:sz w:val="32"/>
          <w:szCs w:val="32"/>
          <w:lang w:val="en-US" w:eastAsia="zh-CN"/>
        </w:rPr>
        <w:t>1682</w:t>
      </w:r>
      <w:r>
        <w:rPr>
          <w:rFonts w:hint="eastAsia" w:ascii="仿宋_GB2312" w:hAnsi="仿宋_GB2312" w:eastAsia="仿宋_GB2312" w:cs="仿宋_GB2312"/>
          <w:sz w:val="32"/>
          <w:szCs w:val="32"/>
        </w:rPr>
        <w:t>件，理赔金额为</w:t>
      </w:r>
      <w:r>
        <w:rPr>
          <w:rFonts w:hint="eastAsia" w:ascii="仿宋_GB2312" w:hAnsi="仿宋_GB2312" w:eastAsia="仿宋_GB2312" w:cs="仿宋_GB2312"/>
          <w:sz w:val="32"/>
          <w:szCs w:val="32"/>
          <w:lang w:val="en-US" w:eastAsia="zh-CN"/>
        </w:rPr>
        <w:t>468.4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，理赔率</w:t>
      </w:r>
      <w:r>
        <w:rPr>
          <w:rFonts w:hint="eastAsia" w:ascii="仿宋_GB2312" w:hAnsi="仿宋_GB2312" w:eastAsia="仿宋_GB2312" w:cs="仿宋_GB2312"/>
          <w:sz w:val="32"/>
          <w:szCs w:val="32"/>
          <w:lang w:val="en-US" w:eastAsia="zh-CN"/>
        </w:rPr>
        <w:t>53.2%</w:t>
      </w:r>
      <w:r>
        <w:rPr>
          <w:rFonts w:hint="eastAsia" w:ascii="仿宋_GB2312" w:hAnsi="仿宋_GB2312" w:eastAsia="仿宋_GB2312" w:cs="仿宋_GB2312"/>
          <w:sz w:val="32"/>
          <w:szCs w:val="32"/>
        </w:rPr>
        <w:t>。</w:t>
      </w:r>
    </w:p>
    <w:p>
      <w:pPr>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7、巩固拓展健康扶贫成果同乡村振兴有效衔接。</w:t>
      </w:r>
      <w:r>
        <w:rPr>
          <w:rFonts w:hint="eastAsia" w:ascii="仿宋_GB2312" w:hAnsi="仿宋_GB2312" w:eastAsia="仿宋_GB2312" w:cs="仿宋_GB2312"/>
          <w:sz w:val="32"/>
          <w:szCs w:val="32"/>
          <w:lang w:val="en-US" w:eastAsia="zh-CN"/>
        </w:rPr>
        <w:t>一是严格落实核心政策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下发《邵阳市卫生健康领域防返贫监测与帮扶反馈问题集中整改督导专项行动方案》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继续全面落实“三提高、两补贴、一减免、一兜底”和“三个一批”的核心政策，国家30种大病专项救治报销比例从2021年的82.08%上升到2022年的60.87%。二是全力减轻患者负担。将县域内定点医疗机构“先诊疗后付费”政策保障对象调整为农村低保对象、特困人员及纳入民政部门和乡村振兴等部门农村低收入人口监测范围内的困难人员，持续对大病人群由定点医院实施大病专项救治。三是切实做好监测帮扶。全口径监测对象共266182户、944933人，应签尽签完成率为100%；落实农村脱贫人口、监测对象四类慢病患者家庭医生签约应签尽签且每年服务不少于4次，为实现脱贫攻坚与乡村振兴有效衔接提供健康保障。四是积极开展基层服务。四是积极开展基层服务。开展邵阳市“优质服务基层行”，组织全市213个乡镇卫生院对标国家标准进行系统自评、初步审核、现场复核评价，截至2022年底，共有23个乡镇卫生院达到国家“推荐标准”，141个乡镇卫生院达到国家“基本标准”。</w:t>
      </w:r>
    </w:p>
    <w:p>
      <w:pPr>
        <w:snapToGrid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8、高位推进中医药综合传承发展。</w:t>
      </w:r>
      <w:r>
        <w:rPr>
          <w:rFonts w:hint="eastAsia" w:ascii="仿宋_GB2312" w:hAnsi="仿宋_GB2312" w:eastAsia="仿宋_GB2312" w:cs="仿宋_GB2312"/>
          <w:sz w:val="32"/>
          <w:szCs w:val="32"/>
          <w:lang w:val="en-US" w:eastAsia="zh-CN"/>
        </w:rPr>
        <w:t>积极争创湖南省国家中医药综合改革示范区先导区建设，做精“湘医”、做强“湘药”。一是强化组织保障。市委、市政府高度重视，为创建先导区提供坚强保障。成立了以市委书记、市长任双组长的创建先导区工作领导小组，下设6个以分管市领导为组长的工作专班，升格邵阳市中医药工作联席会议制度为以市长为组长，常务副市长、分管副市长为副组长的邵阳市中医药工作协调小组，为创建先导区提供了坚强的保障。二是致力产业发展。稳步推动中医药事业产业发展，为创建先导区打下坚实基础，3月份启动市中医院岐黄大楼建设，获批市政府专项债券3亿，市中西医结合医院综合楼完成了前期可靠性报告。市中医院获批国家中医重点特色医院、省级中医区域医疗中心、中药制剂中心等建设项目，市中西医结合医院获批省中西医结合“旗舰医院”、财务精细化管理等项目。基层中医馆建设获批省中医馆服务提质项目资金2050万。中医药重点专科建设方面，经专家评审通过市级重点专科25个。7月份召开全市中医药产业集群（产业链）建设推进会，实现产值64.4亿元，同期增长16.9%。三是精心策划筹备。召开2022年第一次中医药联席会议，集中研究《邵阳市创建湖南省国家中医药改革示范区先导区方案》确定创建工作目标任务，邀请省中医药管理郭子华局长一行对我市中医药工作专项调研，对表《湖南省中医药工作协调小组办公室关于开展湖南省国家中医药综合改革示范区先导区和试点县建设申报工作的通知》要求，收集整理申报资料，并进一步完善创建方案，向省中医药工作协调小组递交申报资料，8月初经省人民政府同意，省中医药协调小组下文，正式同意我市为湖南省国家中医药综合改革示范区六个先导区之一。12月21日，召开邵阳市中医药大会暨建设湖南省国家中医药综合改革示范区先导区动员大会。市委书记</w:t>
      </w:r>
      <w:r>
        <w:rPr>
          <w:rFonts w:hint="default" w:ascii="仿宋_GB2312" w:hAnsi="仿宋_GB2312" w:eastAsia="仿宋_GB2312" w:cs="仿宋_GB2312"/>
          <w:sz w:val="32"/>
          <w:szCs w:val="32"/>
          <w:lang w:val="en-US" w:eastAsia="zh-CN"/>
        </w:rPr>
        <w:t>严华</w:t>
      </w:r>
      <w:r>
        <w:rPr>
          <w:rFonts w:hint="eastAsia" w:ascii="仿宋_GB2312" w:hAnsi="仿宋_GB2312" w:eastAsia="仿宋_GB2312" w:cs="仿宋_GB2312"/>
          <w:sz w:val="32"/>
          <w:szCs w:val="32"/>
          <w:lang w:val="en-US" w:eastAsia="zh-CN"/>
        </w:rPr>
        <w:t>参加会议并作出重要指示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他强调：</w:t>
      </w:r>
      <w:r>
        <w:rPr>
          <w:rFonts w:hint="default" w:ascii="仿宋_GB2312" w:hAnsi="仿宋_GB2312" w:eastAsia="仿宋_GB2312" w:cs="仿宋_GB2312"/>
          <w:sz w:val="32"/>
          <w:szCs w:val="32"/>
          <w:lang w:val="en-US" w:eastAsia="zh-CN"/>
        </w:rPr>
        <w:t>要聚焦重点任务，奋力推动全市中医药高质量发展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要强化保障措施，广泛汇聚做好中医药工作的强大合力。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rPr>
      </w:pPr>
      <w:r>
        <w:rPr>
          <w:rFonts w:hint="eastAsia" w:eastAsia="黑体" w:cs="Times New Roman"/>
          <w:sz w:val="32"/>
          <w:szCs w:val="32"/>
          <w:lang w:eastAsia="zh-CN"/>
        </w:rPr>
        <w:t>七</w:t>
      </w:r>
      <w:r>
        <w:rPr>
          <w:rFonts w:hint="eastAsia" w:ascii="Times New Roman" w:hAnsi="Times New Roman" w:eastAsia="黑体" w:cs="Times New Roman"/>
          <w:sz w:val="32"/>
          <w:szCs w:val="32"/>
        </w:rPr>
        <w:t>、存在的问题及原因分析</w:t>
      </w:r>
    </w:p>
    <w:p>
      <w:pPr>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本部门</w:t>
      </w:r>
      <w:r>
        <w:rPr>
          <w:rFonts w:hint="eastAsia" w:ascii="仿宋_GB2312" w:hAnsi="仿宋_GB2312" w:eastAsia="仿宋_GB2312" w:cs="仿宋_GB2312"/>
          <w:sz w:val="32"/>
          <w:szCs w:val="32"/>
          <w:lang w:val="en-US" w:eastAsia="zh-CN"/>
        </w:rPr>
        <w:t>预算支出执行偏离绩效目标</w:t>
      </w:r>
      <w:r>
        <w:rPr>
          <w:rFonts w:hint="eastAsia" w:ascii="仿宋_GB2312" w:hAnsi="仿宋_GB2312" w:cs="仿宋_GB2312"/>
          <w:sz w:val="32"/>
          <w:szCs w:val="32"/>
          <w:lang w:val="en-US" w:eastAsia="zh-CN"/>
        </w:rPr>
        <w:t>的主要问题为：一是部分省级项目经费因审批流程原因拨付较慢，单位未及时知晓并申请支付；二是</w:t>
      </w:r>
      <w:r>
        <w:rPr>
          <w:rFonts w:hint="eastAsia" w:ascii="仿宋_GB2312" w:hAnsi="仿宋_GB2312" w:eastAsia="仿宋_GB2312" w:cs="仿宋_GB2312"/>
          <w:sz w:val="32"/>
          <w:szCs w:val="32"/>
          <w:lang w:val="en-US" w:eastAsia="zh-CN"/>
        </w:rPr>
        <w:t>人员经费投入不足，</w:t>
      </w:r>
      <w:r>
        <w:rPr>
          <w:rFonts w:hint="eastAsia" w:ascii="仿宋_GB2312" w:hAnsi="仿宋_GB2312" w:cs="仿宋_GB2312"/>
          <w:sz w:val="32"/>
          <w:szCs w:val="32"/>
          <w:lang w:val="en-US" w:eastAsia="zh-CN"/>
        </w:rPr>
        <w:t>需要用公用经费弥补，导致公用经费不足。</w:t>
      </w:r>
      <w:r>
        <w:rPr>
          <w:rFonts w:hint="eastAsia" w:ascii="仿宋_GB2312" w:hAnsi="仿宋_GB2312" w:eastAsia="仿宋_GB2312" w:cs="仿宋_GB2312"/>
          <w:sz w:val="32"/>
          <w:szCs w:val="32"/>
          <w:lang w:val="en-US" w:eastAsia="zh-CN"/>
        </w:rPr>
        <w:t>如基本医疗保险缴费</w:t>
      </w:r>
      <w:r>
        <w:rPr>
          <w:rFonts w:hint="eastAsia" w:ascii="仿宋_GB2312" w:hAnsi="仿宋_GB2312" w:cs="仿宋_GB2312"/>
          <w:sz w:val="32"/>
          <w:szCs w:val="32"/>
          <w:lang w:val="en-US" w:eastAsia="zh-CN"/>
        </w:rPr>
        <w:t>、职工养老保险缴费、工会经费等</w:t>
      </w:r>
      <w:r>
        <w:rPr>
          <w:rFonts w:hint="eastAsia" w:ascii="仿宋_GB2312" w:hAnsi="仿宋_GB2312" w:eastAsia="仿宋_GB2312" w:cs="仿宋_GB2312"/>
          <w:sz w:val="32"/>
          <w:szCs w:val="32"/>
          <w:lang w:val="en-US" w:eastAsia="zh-CN"/>
        </w:rPr>
        <w:t>年初预算数与实际支出数相差较大。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hint="eastAsia" w:eastAsia="黑体" w:cs="Times New Roman"/>
          <w:sz w:val="32"/>
          <w:szCs w:val="32"/>
          <w:lang w:eastAsia="zh-CN"/>
        </w:rPr>
        <w:t>八</w:t>
      </w:r>
      <w:r>
        <w:rPr>
          <w:rFonts w:ascii="Times New Roman" w:hAnsi="Times New Roman" w:eastAsia="黑体" w:cs="Times New Roman"/>
          <w:sz w:val="32"/>
          <w:szCs w:val="32"/>
        </w:rPr>
        <w:t>、下一步改进措施</w:t>
      </w:r>
    </w:p>
    <w:p>
      <w:pPr>
        <w:adjustRightInd w:val="0"/>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1、进一步完善机关厉行节约制度，严控三公经费和公用经费支出。建议财政有针对性地加大运行经费投入力度，确保部门正常运行。</w:t>
      </w:r>
    </w:p>
    <w:p>
      <w:pPr>
        <w:adjustRightInd w:val="0"/>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cs="仿宋_GB2312"/>
          <w:kern w:val="2"/>
          <w:sz w:val="32"/>
          <w:szCs w:val="32"/>
          <w:lang w:val="en-US" w:eastAsia="zh-CN" w:bidi="ar-SA"/>
        </w:rPr>
        <w:t>进一步增强资金使用单位法制意识，强化监督监管作用，充分发挥纪检监察机关监督和群众举报监督的作用，采取多种形式加大监督的力度。</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九</w:t>
      </w:r>
      <w:r>
        <w:rPr>
          <w:rFonts w:ascii="Times New Roman" w:hAnsi="Times New Roman" w:eastAsia="黑体" w:cs="Times New Roman"/>
          <w:sz w:val="32"/>
          <w:szCs w:val="32"/>
        </w:rPr>
        <w:t>、部门整体支出绩效自评结果拟应用和公开情况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绩效</w:t>
      </w:r>
      <w:r>
        <w:rPr>
          <w:rFonts w:hint="eastAsia" w:ascii="仿宋_GB2312" w:hAnsi="仿宋_GB2312" w:cs="仿宋_GB2312"/>
          <w:kern w:val="2"/>
          <w:sz w:val="32"/>
          <w:szCs w:val="32"/>
          <w:lang w:val="en-US" w:eastAsia="zh-CN" w:bidi="ar-SA"/>
        </w:rPr>
        <w:t>自</w:t>
      </w:r>
      <w:r>
        <w:rPr>
          <w:rFonts w:hint="eastAsia" w:ascii="仿宋_GB2312" w:hAnsi="仿宋_GB2312" w:eastAsia="仿宋_GB2312" w:cs="仿宋_GB2312"/>
          <w:kern w:val="2"/>
          <w:sz w:val="32"/>
          <w:szCs w:val="32"/>
          <w:lang w:val="en-US" w:eastAsia="zh-CN" w:bidi="ar-SA"/>
        </w:rPr>
        <w:t>评结果的应用</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评价过程中，边评价，边整改，确保及时发现问题，第一时间解决问题。评价与内审工作相结合，发现问题列入单位内部审计报告并统筹整改。将自评中发现的问题和评价组提出的意见建议，及时反馈给单位领导，对预算执行率偏低、自评结果较差的项目，单独说明原因，提出整改措施并落实到位。</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（二）绩效自评结果公开情况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2022年度本部门整体支出实行目标管理，及时开展部门整体支出绩效自评工作，确保</w:t>
      </w:r>
      <w:r>
        <w:rPr>
          <w:rFonts w:hint="eastAsia" w:ascii="仿宋_GB2312" w:hAnsi="仿宋_GB2312" w:cs="仿宋_GB2312"/>
          <w:kern w:val="2"/>
          <w:sz w:val="32"/>
          <w:szCs w:val="32"/>
          <w:lang w:val="en-US" w:eastAsia="zh-CN" w:bidi="ar-SA"/>
        </w:rPr>
        <w:t>部门所有</w:t>
      </w:r>
      <w:r>
        <w:rPr>
          <w:rFonts w:hint="eastAsia" w:ascii="仿宋_GB2312" w:hAnsi="仿宋_GB2312" w:eastAsia="仿宋_GB2312" w:cs="仿宋_GB2312"/>
          <w:kern w:val="2"/>
          <w:sz w:val="32"/>
          <w:szCs w:val="32"/>
          <w:lang w:val="en-US" w:eastAsia="zh-CN" w:bidi="ar-SA"/>
        </w:rPr>
        <w:t>资金合理运用，达到资金利用效益最大化</w:t>
      </w:r>
      <w:r>
        <w:rPr>
          <w:rFonts w:hint="eastAsia" w:ascii="仿宋_GB2312" w:hAnsi="仿宋_GB2312" w:cs="仿宋_GB2312"/>
          <w:kern w:val="2"/>
          <w:sz w:val="32"/>
          <w:szCs w:val="32"/>
          <w:lang w:val="en-US" w:eastAsia="zh-CN" w:bidi="ar-SA"/>
        </w:rPr>
        <w:t>。根据省、市财政部门相关要求，本部门整体支出绩效自评结果于规定期限内</w:t>
      </w:r>
      <w:r>
        <w:rPr>
          <w:rFonts w:hint="eastAsia" w:ascii="仿宋_GB2312" w:hAnsi="仿宋_GB2312" w:eastAsia="仿宋_GB2312" w:cs="仿宋_GB2312"/>
          <w:kern w:val="2"/>
          <w:sz w:val="32"/>
          <w:szCs w:val="32"/>
          <w:lang w:val="en-US" w:eastAsia="zh-CN" w:bidi="ar-SA"/>
        </w:rPr>
        <w:t>在政府网站和单位官网同步公开。</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ascii="Times New Roman" w:hAnsi="Times New Roman" w:eastAsia="黑体" w:cs="Times New Roman"/>
          <w:sz w:val="32"/>
          <w:szCs w:val="32"/>
        </w:rPr>
        <w:t>其他需要说明的情况</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cs="仿宋_GB2312"/>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附表1：整体支出绩效评价基础数据表</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附表2：整体支出绩效自评表</w:t>
      </w:r>
    </w:p>
    <w:p>
      <w:pPr>
        <w:pStyle w:val="6"/>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附表3：项目支出绩效自评表</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kern w:val="2"/>
          <w:sz w:val="32"/>
          <w:szCs w:val="32"/>
          <w:lang w:val="en-US" w:eastAsia="zh-CN" w:bidi="ar-SA"/>
        </w:rPr>
      </w:pPr>
    </w:p>
    <w:p>
      <w:pPr>
        <w:rPr>
          <w:rFonts w:hint="default"/>
          <w:lang w:val="en-US" w:eastAsia="zh-CN"/>
        </w:rPr>
      </w:pPr>
    </w:p>
    <w:p/>
    <w:sectPr>
      <w:footerReference r:id="rId3" w:type="default"/>
      <w:pgSz w:w="11906" w:h="16838"/>
      <w:pgMar w:top="2154" w:right="1531" w:bottom="2154"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NDQyZWIxM2U2OTQyZTk0MjA2OGZlYjQ5NmVjZWIifQ=="/>
  </w:docVars>
  <w:rsids>
    <w:rsidRoot w:val="20152703"/>
    <w:rsid w:val="2015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40" w:lineRule="auto"/>
      <w:jc w:val="center"/>
      <w:outlineLvl w:val="0"/>
    </w:pPr>
    <w:rPr>
      <w:rFonts w:ascii="Calibri" w:hAnsi="Calibri" w:eastAsia="方正魏碑_GBK" w:cs="Times New Roman"/>
      <w:kern w:val="44"/>
      <w:sz w:val="7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2023-09-21T07:25:00Z</dcterms:created>
  <dc:creator>白水竹林</dc:creator>
  <cp:lastModifiedBy>白水竹林</cp:lastModifiedBy>
  <dcterms:modified xsi:type="dcterms:W3CDTF">2023-09-21T07:26:29Z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7EF2ACB1D398406EABF596B60A0FEEFC_11</vt:lpwstr>
  </property>
</Properties>
</file>